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00"/>
        <w:rPr/>
      </w:pPr>
      <w:r>
        <w:rPr>
          <w:i/>
          <w:iCs/>
          <w:color w:val="888888"/>
          <w:sz w:val="20"/>
          <w:szCs w:val="20"/>
        </w:rPr>
        <w:t>[INSTRUCTIE: Vul alle velden tussen [HOOFDLETTERS] in met uw eigen gegevens. Stuur de brief aangetekend per post naar uw belastinginspecteur. Het adres vindt u op uw laatste aanslag of via de BelastingTelefoon: 0800-0543.]</w:t>
      </w:r>
    </w:p>
    <w:p>
      <w:pPr>
        <w:pStyle w:val="Normal"/>
        <w:spacing w:before="0" w:after="60"/>
        <w:rPr/>
      </w:pPr>
      <w:r>
        <w:rPr/>
        <w:t>[Uw naam]</w:t>
      </w:r>
    </w:p>
    <w:p>
      <w:pPr>
        <w:pStyle w:val="Normal"/>
        <w:spacing w:before="0" w:after="60"/>
        <w:rPr/>
      </w:pPr>
      <w:r>
        <w:rPr/>
        <w:t>[Adres]</w:t>
      </w:r>
    </w:p>
    <w:p>
      <w:pPr>
        <w:pStyle w:val="Normal"/>
        <w:spacing w:before="0" w:after="60"/>
        <w:rPr/>
      </w:pPr>
      <w:r>
        <w:rPr/>
        <w:t>[Postcode en woonplaats]</w:t>
      </w:r>
    </w:p>
    <w:p>
      <w:pPr>
        <w:pStyle w:val="Normal"/>
        <w:spacing w:before="0" w:after="300"/>
        <w:rPr/>
      </w:pPr>
      <w:r>
        <w:rPr/>
        <w:t>[BSN-nummer]</w:t>
      </w:r>
    </w:p>
    <w:p>
      <w:pPr>
        <w:pStyle w:val="Normal"/>
        <w:spacing w:before="0" w:after="300"/>
        <w:rPr/>
      </w:pPr>
      <w:r>
        <w:rPr/>
        <w:t>[Plaats], [datum]</w:t>
      </w:r>
    </w:p>
    <w:p>
      <w:pPr>
        <w:pStyle w:val="Normal"/>
        <w:spacing w:before="0" w:after="60"/>
        <w:rPr/>
      </w:pPr>
      <w:r>
        <w:rPr/>
        <w:t>Belastingdienst</w:t>
      </w:r>
    </w:p>
    <w:p>
      <w:pPr>
        <w:pStyle w:val="Normal"/>
        <w:spacing w:before="0" w:after="60"/>
        <w:rPr/>
      </w:pPr>
      <w:r>
        <w:rPr/>
        <w:t>t.a.v. [naam inspecteur / kantoor]</w:t>
      </w:r>
    </w:p>
    <w:p>
      <w:pPr>
        <w:pStyle w:val="Normal"/>
        <w:spacing w:before="0" w:after="300"/>
        <w:rPr/>
      </w:pPr>
      <w:r>
        <w:rPr/>
        <w:t>[Adres belastingkantoor]</w:t>
      </w:r>
    </w:p>
    <w:p>
      <w:pPr>
        <w:pStyle w:val="Normal"/>
        <w:spacing w:before="0" w:after="300"/>
        <w:rPr/>
      </w:pPr>
      <w:r>
        <w:rPr>
          <w:b/>
          <w:bCs/>
        </w:rPr>
        <w:t xml:space="preserve">Betreft: </w:t>
      </w:r>
      <w:r>
        <w:rPr/>
        <w:t>Verzoek om herberekening belasting wegens de niet toegelaten heffing op Duits pensioen (Steuerfrei-deel) — n.a.v. HR-arrest ECLI:NL:HR:2026:961, d.d. 19-06-2026 of ambtshalve vermindering of een coulance regeling</w:t>
      </w:r>
    </w:p>
    <w:p>
      <w:pPr>
        <w:pStyle w:val="Normal"/>
        <w:spacing w:before="0" w:after="200"/>
        <w:rPr/>
      </w:pPr>
      <w:r>
        <w:rPr/>
        <w:t>Geachte heer/mevrouw,</w:t>
      </w:r>
    </w:p>
    <w:p>
      <w:pPr>
        <w:pStyle w:val="Normal"/>
        <w:spacing w:before="0" w:after="200"/>
        <w:rPr/>
      </w:pPr>
      <w:r>
        <w:rPr/>
        <w:t>Op 19-06-2026 heeft de Hoge Raad arrest gewezen in de cassatieprocedure over de belastingheffing op het belastingvrije deel (Steuerfreier Teil) van Duitse pensioenuitkeringen (ECLI:NL:HR:2026:961). De Hoge Raad heeft daarin geoordeeld dat Nederland het belastingvrije deel van een Duitse Rente — het deel waarover in Duitsland destijds niet-aftrekbare premies zijn betaald — niet in de Nederlandse inkomstenbelasting mag betrekken.</w:t>
      </w:r>
    </w:p>
    <w:p>
      <w:pPr>
        <w:pStyle w:val="Normal"/>
        <w:spacing w:before="0" w:after="120"/>
        <w:rPr/>
      </w:pPr>
      <w:r>
        <w:rPr/>
        <w:t>Mijn situatie is als volgt:</w:t>
      </w:r>
    </w:p>
    <w:p>
      <w:pPr>
        <w:pStyle w:val="Normal"/>
        <w:spacing w:before="0" w:after="80"/>
        <w:ind w:start="360"/>
        <w:rPr/>
      </w:pPr>
      <w:r>
        <w:rPr/>
        <w:t xml:space="preserve">•  </w:t>
      </w:r>
      <w:r>
        <w:rPr/>
        <w:t>Ik ontvang sinds [JAAR VAN PENSIONERING] een Duitse Rente (Deutsche Rentenversicherung).</w:t>
      </w:r>
    </w:p>
    <w:p>
      <w:pPr>
        <w:pStyle w:val="Normal"/>
        <w:spacing w:before="0" w:after="80"/>
        <w:ind w:start="360"/>
        <w:rPr/>
      </w:pPr>
      <w:r>
        <w:rPr/>
        <w:t xml:space="preserve">•  </w:t>
      </w:r>
      <w:r>
        <w:rPr/>
        <w:t>Mijn eerste jaarlijkse Rente bij aanvang in [JAAR VAN PENSIONERING] bedroeg € [EERSTE JAARBEDRAG RENTE].</w:t>
      </w:r>
    </w:p>
    <w:p>
      <w:pPr>
        <w:pStyle w:val="Normal"/>
        <w:spacing w:before="0" w:after="80"/>
        <w:ind w:start="360"/>
        <w:rPr/>
      </w:pPr>
      <w:r>
        <w:rPr/>
        <w:t xml:space="preserve">•  </w:t>
      </w:r>
      <w:r>
        <w:rPr/>
        <w:t>Het Steuerfreibetrag bedraagt 40% van de eerste Rente = € 4.080 per jaar. Dit percentage volgt uit de Duitse overgangsregeling (§ 22 Nr. 1 EStG): bij pensionering in 2005 gold 50%, aflopend met 2% per jaar t/m 2020, daarna 1% per jaar voor 2021 en 2022, en vervolgens 0,5% per jaar t/m 2058. Dit eindpunt (2058, oorspronkelijk 2040) is het gevolg van het Wachstumschancengesetz van 27 maart 2024, dat de afbouw heeft vertraagd. Bij pensionering in [JAAR VAN PENSIONERING] geldt dus [BEREKENING CONFORM TABEL] = [PERCENTAGE]%, hetgeen resulteert in een Steuerfreibetrag van € [EERSTE JAARBEDRAG RENTE] × [PERCENTAGE]% = € [STEUERFREIBETRAG BEDRAG]. Dit bedrag is bevestigd op mijn eerste Einkommensteuerbescheid.</w:t>
      </w:r>
    </w:p>
    <w:p>
      <w:pPr>
        <w:pStyle w:val="Normal"/>
        <w:spacing w:before="0" w:after="80"/>
        <w:ind w:start="360"/>
        <w:rPr/>
      </w:pPr>
      <w:r>
        <w:rPr/>
        <w:t xml:space="preserve">•  </w:t>
      </w:r>
      <w:r>
        <w:rPr/>
        <w:t>Dit Steuerfreibetrag staat eenmalig vast op basis van de Rente in het eerste volledige pensioenjaar en wijzigt niet bij latere verhogingen van de uitkering. Het bedrag van € [STEUERFREIBETRAG BEDRAG] geldt derhalve voor de gehele looptijd van mijn pensioen. Dit bedrag is ook bevestigd op mijn eerste Duitse Einkommensteuerbescheid, waarin het Steuerfreibetrag voor het eerst als zodanig is vermeld.</w:t>
      </w:r>
    </w:p>
    <w:p>
      <w:pPr>
        <w:pStyle w:val="Normal"/>
        <w:spacing w:before="0" w:after="200"/>
        <w:ind w:start="360"/>
        <w:rPr/>
      </w:pPr>
      <w:r>
        <w:rPr/>
        <w:t xml:space="preserve">•  </w:t>
      </w:r>
      <w:r>
        <w:rPr/>
        <w:t>Dit bedrag van € [STEUERFREIBETRAG BEDRAG] per jaar is in de jaren [jaar] t/m heden ten onrechte volledig in de Nederlandse inkomstenbelasting betrokken.</w:t>
      </w:r>
    </w:p>
    <w:p>
      <w:pPr>
        <w:pStyle w:val="Normal"/>
        <w:spacing w:before="0" w:after="200"/>
        <w:rPr/>
      </w:pPr>
      <w:r>
        <w:rPr/>
        <w:t>Op grond van het genoemde arrest doe ik hierbij een verzoek voor alle betrokken belastingjaren. Ik onderscheid daarbij vier categorieën:</w:t>
      </w:r>
    </w:p>
    <w:p>
      <w:pPr>
        <w:pStyle w:val="Normal"/>
        <w:spacing w:before="0" w:after="80"/>
        <w:rPr/>
      </w:pPr>
      <w:r>
        <w:rPr>
          <w:b/>
          <w:bCs/>
        </w:rPr>
        <w:t>Categorie A — Openstaande aanslagen en lopende bezwaren</w:t>
      </w:r>
    </w:p>
    <w:p>
      <w:pPr>
        <w:pStyle w:val="Normal"/>
        <w:spacing w:before="0" w:after="200"/>
        <w:rPr/>
      </w:pPr>
      <w:r>
        <w:rPr/>
        <w:t>Voor de jaren waarvoor nog geen onherroepelijke aanslag bestaat, dan wel waarvoor tijdig bezwaar is ingediend, verzoek ik u de aanslagen te verminderen in overeenstemming met het HR-arrest en het Steuerfrei-deel buiten de heffingsgrondslag te laten. Het te veel betaalde belastingbedrag verzoek ik u te restitueren, vermeerderd met de wettelijke rente.</w:t>
      </w:r>
    </w:p>
    <w:p>
      <w:pPr>
        <w:pStyle w:val="Normal"/>
        <w:spacing w:before="0" w:after="80"/>
        <w:rPr/>
      </w:pPr>
      <w:r>
        <w:rPr>
          <w:b/>
          <w:bCs/>
        </w:rPr>
        <w:t>Categorie B — Definitieve aanslagen binnen de vijfjaarstermijn (2021 t/m 2025)</w:t>
      </w:r>
    </w:p>
    <w:p>
      <w:pPr>
        <w:pStyle w:val="Normal"/>
        <w:spacing w:before="0" w:after="200"/>
        <w:rPr/>
      </w:pPr>
      <w:r>
        <w:rPr/>
        <w:t>Voor de jaren 2021 t/m 2025 verzoek ik u de aanslagen ambtshalve te verminderen op grond van artikel 9.6 Wet IB 2001 jo. artikel 65 AWR. De vijfjaarstermijn voor ambtshalve vermindering is nog niet verstreken. Het HR-arrest vormt een nieuw rechtsfeit dat heroverweging rechtvaardigt. Ik verzoek u restitutie van het te veel betaalde bedrag, vermeerderd met de wettelijke rente.</w:t>
      </w:r>
    </w:p>
    <w:p>
      <w:pPr>
        <w:pStyle w:val="Normal"/>
        <w:spacing w:before="0" w:after="80"/>
        <w:rPr/>
      </w:pPr>
      <w:r>
        <w:rPr>
          <w:b/>
          <w:bCs/>
        </w:rPr>
        <w:t>Categorie C — Definitieve aanslagen ouder dan vijf jaar, terug tot 2005</w:t>
      </w:r>
    </w:p>
    <w:p>
      <w:pPr>
        <w:pStyle w:val="Normal"/>
        <w:spacing w:before="0" w:after="200"/>
        <w:rPr/>
      </w:pPr>
      <w:r>
        <w:rPr/>
        <w:t>Voor de jaren vóór 2021 is de reguliere termijn voor ambtshalve vermindering verstreken. Desondanks verzoek ik u ook voor deze jaren tot herziening over te gaan, met terugwerkende kracht tot 2005 als objectief beginjaar. 2005 is het jaar waarin de Duitse Rentenreform (Alterseinkünftegesetz) in werking trad, waarmee het Steuerfreibetrag als wettelijk concept werd ingevoerd. Vóór 2005 bestond dit vrijgestelde deel niet; de onjuiste Nederlandse heffing over het Steuerfreibetrag kon derhalve ook niet eerder dan 2005 zijn begonnen. Een claim vóór dat jaar is dan ook niet aan de orde. Ik verzoek herziening voor deze jaren op grond van de volgende overwegingen: (1) de Belastingdienst heeft deze heffing actief opgelegd terwijl al geruime tijd in rechte werd betwist of de heffing rechtmatig was; (2) het gaat om een stelselmatige onjuiste toepassing van de wet die door de overheid zelf in stand is gehouden; (3) afwijzing voor deze jaren leidt tot ongelijke behandeling ten opzichte van belastingplichtigen die wél tijdig bezwaar maakten of wier aanslag nog openstond. Mochten deze aanslagen niet langs de weg van ambtshalve vermindering worden gecorrigeerd, dan behoud ik mij uitdrukkelijk het recht voor om de schade langs civielrechtelijke weg te verhalen op grond van onrechtmatige overheidsdaad (artikel 6:162 BW).</w:t>
      </w:r>
    </w:p>
    <w:p>
      <w:pPr>
        <w:pStyle w:val="Normal"/>
        <w:spacing w:before="200" w:after="80"/>
        <w:rPr/>
      </w:pPr>
      <w:r>
        <w:rPr>
          <w:b/>
          <w:bCs/>
        </w:rPr>
        <w:t>Categorie D — Zuschuss Krankenversicherung: ten onrechte belast als inkomen</w:t>
      </w:r>
    </w:p>
    <w:p>
      <w:pPr>
        <w:pStyle w:val="Normal"/>
        <w:spacing w:before="0" w:after="200"/>
        <w:rPr/>
      </w:pPr>
      <w:r>
        <w:rPr/>
        <w:t>Naast het Steuerfreibetrag is er een tweede bedrag dat ten onrechte in de Nederlandse heffingsgrondslag is opgenomen: de Zuschuss zur Krankenversicherung (bijdrage zorgverzekering) van de Deutsche Rentenversicherung.</w:t>
      </w:r>
    </w:p>
    <w:p>
      <w:pPr>
        <w:pStyle w:val="Normal"/>
        <w:spacing w:before="0" w:after="200"/>
        <w:rPr/>
      </w:pPr>
      <w:r>
        <w:rPr/>
        <w:t>De Deutsche Rentenversicherung telt de Zuschuss Krankenversicherung op bij het bruto pensioenbedrag op de jaaropgave, zonder dit bedrag apart te vermelden als vrijgesteld inkomen. De Nederlandse Belastingdienst heeft het volledige totaalbedrag als belastbaar inkomen aangemerkt en belast.</w:t>
      </w:r>
    </w:p>
    <w:p>
      <w:pPr>
        <w:pStyle w:val="Normal"/>
        <w:spacing w:before="0" w:after="200"/>
        <w:rPr/>
      </w:pPr>
      <w:r>
        <w:rPr/>
        <w:t>Dit is onjuist. De Zuschuss Krankenversicherung is op grond van § 3 Nr. 14 van het Einkommensteuergesetz (EStG) uitdrukkelijk en onomstreden vrijgesteld van Duitse inkomstenbelasting. Het betreft een doelgebonden vergoeding voor zorgverzekeringskosten, geen pensioeninkomen. Deze vrijstelling staat volledig los van het HR-arrest van 19 juni 2026 en berust op een bestaande, niet betwiste wettelijke bepaling. Voor dit onderdeel is een beroep op het HR-arrest dan ook niet noodzakelijk.</w:t>
      </w:r>
    </w:p>
    <w:p>
      <w:pPr>
        <w:pStyle w:val="Normal"/>
        <w:spacing w:before="0" w:after="200"/>
        <w:rPr/>
      </w:pPr>
      <w:r>
        <w:rPr/>
        <w:t>De exacte hoogte van de Zuschuss Krankenversicherung per jaar is af te leiden uit de jaarlijkse DRV-jaaropgave (Bescheinigung über den Rentenbezug), waarop het totaalbedrag en de samenstellende delen staan vermeld. Ik verzoek u voor elk belastingjaar het Zuschuss-bedrag conform de DRV-jaaropgave buiten de heffingsgrondslag te laten en de te veel betaalde belasting over dit bedrag te restitueren, vermeerderd met de wettelijke rente op grond van artikel 30f AWR. Als bijlage voeg ik de relevante DRV-jaaropgaven toe [in te vullen: bijvoegen per jaar].</w:t>
      </w:r>
    </w:p>
    <w:p>
      <w:pPr>
        <w:pStyle w:val="Normal"/>
        <w:spacing w:before="0" w:after="120"/>
        <w:rPr/>
      </w:pPr>
      <w:r>
        <w:rPr/>
        <w:t>Als bijlage voeg ik toe:</w:t>
      </w:r>
    </w:p>
    <w:p>
      <w:pPr>
        <w:pStyle w:val="Normal"/>
        <w:spacing w:before="0" w:after="80"/>
        <w:ind w:start="360"/>
        <w:rPr/>
      </w:pPr>
      <w:r>
        <w:rPr/>
        <w:t xml:space="preserve">•  </w:t>
      </w:r>
      <w:r>
        <w:rPr/>
        <w:t>Een kopie van mijn Rentenbescheid.</w:t>
      </w:r>
    </w:p>
    <w:p>
      <w:pPr>
        <w:pStyle w:val="Normal"/>
        <w:spacing w:before="0" w:after="80"/>
        <w:ind w:start="360"/>
        <w:rPr/>
      </w:pPr>
      <w:r>
        <w:rPr/>
        <w:t xml:space="preserve">•  </w:t>
      </w:r>
      <w:r>
        <w:rPr/>
        <w:t>Een overzicht van de door mij ingediende aangiften en opgelegde aanslagen over de betreffende jaren [optioneel: bijvoegen indien beschikbaar].</w:t>
      </w:r>
    </w:p>
    <w:p>
      <w:pPr>
        <w:pStyle w:val="Normal"/>
        <w:spacing w:before="0" w:after="80"/>
        <w:ind w:start="360"/>
        <w:rPr/>
      </w:pPr>
      <w:r>
        <w:rPr/>
        <w:t xml:space="preserve">•  </w:t>
      </w:r>
      <w:r>
        <w:rPr/>
        <w:t>Een uitdraai van de officiële Duitse berekeningssystematiek voor het Steuerfreibetrag conform § 22 Nr. 1 EStG, raadpleegbaar via de website van de Deutsche Rentenversicherung of het Bundesministerium der Finanzen (zoekterm: „Besteuerungsanteil Rente Tabelle“).</w:t>
      </w:r>
    </w:p>
    <w:p>
      <w:pPr>
        <w:pStyle w:val="Normal"/>
        <w:spacing w:before="0" w:after="80"/>
        <w:ind w:start="360"/>
        <w:rPr/>
      </w:pPr>
      <w:r>
        <w:rPr/>
        <w:t xml:space="preserve">•  </w:t>
      </w:r>
      <w:r>
        <w:rPr/>
        <w:t>De jaarlijkse DRV-jaaropgaven (Bescheinigung über den Rentenbezug) per belastingjaar, waaruit de hoogte van de Zuschuss Krankenversicherung per jaar blijkt.</w:t>
      </w:r>
    </w:p>
    <w:p>
      <w:pPr>
        <w:pStyle w:val="Normal"/>
        <w:spacing w:before="0" w:after="200"/>
        <w:ind w:start="360"/>
        <w:rPr/>
      </w:pPr>
      <w:r>
        <w:rPr/>
        <w:t xml:space="preserve">•  </w:t>
      </w:r>
      <w:r>
        <w:rPr/>
        <w:t>Een specificatie per jaar van de geleden schade: voor elk belastingjaar het bruto Rentebedrag, het ten onrechte in de heffing betrokken Steuerfreibetrag (€ [STEUERFREIBETRAG BEDRAG]), en de daardoor te veel betaalde belasting [in te vullen op basis van uw aanslagbiljetten].</w:t>
      </w:r>
    </w:p>
    <w:p>
      <w:pPr>
        <w:pStyle w:val="Normal"/>
        <w:spacing w:before="0" w:after="200"/>
        <w:rPr/>
      </w:pPr>
      <w:r>
        <w:rPr>
          <w:b/>
          <w:bCs/>
        </w:rPr>
        <w:t>Tijdigheid van dit verzoek</w:t>
      </w:r>
    </w:p>
    <w:p>
      <w:pPr>
        <w:pStyle w:val="Normal"/>
        <w:spacing w:before="0" w:after="200"/>
        <w:rPr/>
      </w:pPr>
      <w:r>
        <w:rPr/>
        <w:t>Dit verzoek wordt ingediend binnen zes weken na het arrest van de Hoge Raad van 19 juni 2026 (ECLI:NL:HR:2026:961). Pas door dit arrest is voor belastingplichtigen buiten rechte komen vast te staan dat de heffing over het Steuerfreibetrag in strijd was met de wet. De vordering is derhalve niet eerder dan 19 juni 2026 opeisbaar geworden. Van verjaring of termijnoverschrijding kan geen sprake zijn.</w:t>
      </w:r>
    </w:p>
    <w:p>
      <w:pPr>
        <w:pStyle w:val="Normal"/>
        <w:spacing w:before="0" w:after="200"/>
        <w:rPr/>
      </w:pPr>
      <w:r>
        <w:rPr>
          <w:b/>
          <w:bCs/>
        </w:rPr>
        <w:t>Wettelijke rente</w:t>
      </w:r>
    </w:p>
    <w:p>
      <w:pPr>
        <w:pStyle w:val="Normal"/>
        <w:spacing w:before="0" w:after="300"/>
        <w:rPr/>
      </w:pPr>
      <w:r>
        <w:rPr/>
        <w:t>Ik verzoek u het te restitueren bedrag te vermeerderen met wettelijke rente op grond van artikel 30f van de Algemene wet inzake rijksbelastingen (AWR). De rente dient te worden berekend vanaf de datum waarop het te veel betaalde belastingbedrag per belastingjaar is voldaan, tot de datum van daadwerkelijke teruggaaf. Ik wijs erop dat het niet vergoeden van rente in strijd zou zijn met het beginsel dat de belastingplichtige volledig schadeloos dient te worden gesteld voor de gevolgen van een onrechtmatige heffing.</w:t>
      </w:r>
    </w:p>
    <w:p>
      <w:pPr>
        <w:pStyle w:val="Normal"/>
        <w:spacing w:before="0" w:after="300"/>
        <w:rPr/>
      </w:pPr>
      <w:r>
        <w:rPr/>
        <w:t>Ik verzoek u dit verzoek in behandeling te nemen en mij binnen zes weken te berichten over uw beslissing. Indien u voornemens bent het verzoek geheel of gedeeltelijk af te wijzen, verzoek ik u mij daarvan tijdig in kennis te stellen zodat ik rechtsmiddelen kan overwegen.</w:t>
      </w:r>
    </w:p>
    <w:p>
      <w:pPr>
        <w:pStyle w:val="Normal"/>
        <w:spacing w:before="0" w:after="300"/>
        <w:rPr/>
      </w:pPr>
      <w:r>
        <w:rPr/>
        <w:t>Met vriendelijke groet,</w:t>
      </w:r>
    </w:p>
    <w:p>
      <w:pPr>
        <w:pStyle w:val="Normal"/>
        <w:spacing w:before="0" w:after="100"/>
        <w:rPr/>
      </w:pPr>
      <w:r>
        <w:rPr/>
        <w:t>[Handtekening]</w:t>
      </w:r>
    </w:p>
    <w:p>
      <w:pPr>
        <w:pStyle w:val="Normal"/>
        <w:spacing w:before="0" w:after="100"/>
        <w:rPr/>
      </w:pPr>
      <w:r>
        <w:rPr/>
        <w:t>[Naam]</w:t>
      </w:r>
    </w:p>
    <w:p>
      <w:pPr>
        <w:pStyle w:val="Normal"/>
        <w:spacing w:before="0" w:after="400"/>
        <w:rPr/>
      </w:pPr>
      <w:r>
        <w:rPr/>
        <w:t>[Telefoonnummer / e-mailadres]</w:t>
      </w:r>
    </w:p>
    <w:p>
      <w:pPr>
        <w:pStyle w:val="Normal"/>
        <w:rPr/>
      </w:pPr>
      <w:r>
        <w:rPr>
          <w:i/>
          <w:iCs/>
          <w:color w:val="555555"/>
          <w:sz w:val="20"/>
          <w:szCs w:val="20"/>
        </w:rPr>
        <w:t>Noot: Dit is een modelbrief van Stop Plunderen Duits Pensioen (belastingbuitenlandspensioen.nl). De Belastingdienst is wettelijk niet verplicht definitieve aanslagen te herzien, maar deze brief legt uw verzoek formeel vast en ondersteunt de bredere oproep tot een hersteloperatie. Bewaar een kopie van deze brief en de eventuele reactie van de Belastingdienst zorgvuldig.</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Arial" w:cs="Arial"/>
      <w:color w:val="auto"/>
      <w:kern w:val="0"/>
      <w:sz w:val="24"/>
      <w:szCs w:val="24"/>
      <w:lang w:val="nl-NL" w:eastAsia="zh-CN" w:bidi="hi-IN"/>
    </w:rPr>
  </w:style>
  <w:style w:type="paragraph" w:styleId="Heading1">
    <w:name w:val="heading 1"/>
    <w:basedOn w:val="Kop"/>
    <w:qFormat/>
    <w:pPr/>
    <w:rPr>
      <w:color w:val="2E74B5"/>
      <w:sz w:val="32"/>
      <w:szCs w:val="32"/>
    </w:rPr>
  </w:style>
  <w:style w:type="paragraph" w:styleId="Heading2">
    <w:name w:val="heading 2"/>
    <w:basedOn w:val="Kop"/>
    <w:qFormat/>
    <w:pPr/>
    <w:rPr>
      <w:color w:val="2E74B5"/>
      <w:sz w:val="26"/>
      <w:szCs w:val="26"/>
    </w:rPr>
  </w:style>
  <w:style w:type="paragraph" w:styleId="Heading3">
    <w:name w:val="heading 3"/>
    <w:basedOn w:val="Kop"/>
    <w:qFormat/>
    <w:pPr/>
    <w:rPr>
      <w:color w:val="1F4D78"/>
      <w:sz w:val="24"/>
      <w:szCs w:val="24"/>
    </w:rPr>
  </w:style>
  <w:style w:type="paragraph" w:styleId="Heading4">
    <w:name w:val="heading 4"/>
    <w:basedOn w:val="Kop"/>
    <w:qFormat/>
    <w:pPr/>
    <w:rPr>
      <w:i/>
      <w:iCs/>
      <w:color w:val="2E74B5"/>
    </w:rPr>
  </w:style>
  <w:style w:type="paragraph" w:styleId="Heading5">
    <w:name w:val="heading 5"/>
    <w:basedOn w:val="Kop"/>
    <w:qFormat/>
    <w:pPr/>
    <w:rPr>
      <w:color w:val="2E74B5"/>
    </w:rPr>
  </w:style>
  <w:style w:type="paragraph" w:styleId="Heading6">
    <w:name w:val="heading 6"/>
    <w:basedOn w:val="Kop"/>
    <w:qFormat/>
    <w:pPr/>
    <w:rPr>
      <w:color w:val="1F4D78"/>
    </w:rPr>
  </w:style>
  <w:style w:type="character" w:styleId="Hyperlink">
    <w:name w:val="Hyperlink"/>
    <w:uiPriority w:val="99"/>
    <w:unhideWhenUsed/>
    <w:rPr>
      <w:color w:val="0563C1"/>
      <w:u w:val="single"/>
    </w:rPr>
  </w:style>
  <w:style w:type="character" w:styleId="Voetnoottekens">
    <w:name w:val="Voetnoottekens"/>
    <w:uiPriority w:val="99"/>
    <w:semiHidden/>
    <w:unhideWhenUsed/>
    <w:qFormat/>
    <w:rPr>
      <w:vertAlign w:val="superscript"/>
    </w:rPr>
  </w:style>
  <w:style w:type="character" w:styleId="Voetnoottekensuser">
    <w:name w:val="Voetnoottekens (user)"/>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character" w:styleId="Eindnoottekens">
    <w:name w:val="Eindnoottekens"/>
    <w:uiPriority w:val="99"/>
    <w:semiHidden/>
    <w:unhideWhenUsed/>
    <w:qFormat/>
    <w:rPr>
      <w:vertAlign w:val="superscript"/>
    </w:rPr>
  </w:style>
  <w:style w:type="character" w:styleId="Eindnoottekensuser">
    <w:name w:val="Eindnoottekens (user)"/>
    <w:qFormat/>
    <w:rPr>
      <w:vertAlign w:val="superscript"/>
    </w:rPr>
  </w:style>
  <w:style w:type="character" w:styleId="EndnoteReference">
    <w:name w:val="endnote reference"/>
    <w:rPr>
      <w:vertAlign w:val="superscript"/>
    </w:rPr>
  </w:style>
  <w:style w:type="character" w:styleId="EndnoteTextChar">
    <w:name w:val="Endnote Text Char"/>
    <w:uiPriority w:val="99"/>
    <w:semiHidden/>
    <w:unhideWhenUsed/>
    <w:qFormat/>
    <w:rPr>
      <w:sz w:val="20"/>
      <w:szCs w:val="20"/>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Kopuser">
    <w:name w:val="Kop (user)"/>
    <w:basedOn w:val="Normal"/>
    <w:next w:val="BodyText"/>
    <w:qFormat/>
    <w:pPr>
      <w:keepNext w:val="true"/>
      <w:spacing w:before="240" w:after="120"/>
    </w:pPr>
    <w:rPr>
      <w:rFonts w:ascii="Liberation Sans" w:hAnsi="Liberation Sans" w:eastAsia="Microsoft YaHei" w:cs="Arial"/>
      <w:sz w:val="28"/>
      <w:szCs w:val="28"/>
    </w:rPr>
  </w:style>
  <w:style w:type="paragraph" w:styleId="Title">
    <w:name w:val="Title"/>
    <w:basedOn w:val="Kop"/>
    <w:qFormat/>
    <w:pPr/>
    <w:rPr>
      <w:sz w:val="56"/>
      <w:szCs w:val="56"/>
    </w:rPr>
  </w:style>
  <w:style w:type="paragraph" w:styleId="StrongEmphasis">
    <w:name w:val="Strong Emphasis"/>
    <w:qFormat/>
    <w:pPr>
      <w:widowControl/>
      <w:suppressAutoHyphens w:val="true"/>
      <w:bidi w:val="0"/>
      <w:spacing w:before="0" w:after="0"/>
      <w:jc w:val="start"/>
    </w:pPr>
    <w:rPr>
      <w:rFonts w:ascii="Arial" w:hAnsi="Arial" w:eastAsia="Arial" w:cs="Arial"/>
      <w:b/>
      <w:bCs/>
      <w:color w:val="auto"/>
      <w:kern w:val="0"/>
      <w:sz w:val="24"/>
      <w:szCs w:val="24"/>
      <w:lang w:val="nl-NL" w:eastAsia="zh-CN" w:bidi="hi-IN"/>
    </w:rPr>
  </w:style>
  <w:style w:type="paragraph" w:styleId="ListParagraph">
    <w:name w:val="List Paragraph"/>
    <w:qFormat/>
    <w:pPr>
      <w:widowControl/>
      <w:suppressAutoHyphens w:val="true"/>
      <w:bidi w:val="0"/>
      <w:spacing w:before="0" w:after="0"/>
      <w:jc w:val="start"/>
    </w:pPr>
    <w:rPr>
      <w:rFonts w:ascii="Arial" w:hAnsi="Arial" w:eastAsia="Arial" w:cs="Arial"/>
      <w:color w:val="auto"/>
      <w:kern w:val="0"/>
      <w:sz w:val="24"/>
      <w:szCs w:val="24"/>
      <w:lang w:val="nl-NL"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LibreOffice/26.2.1.2$Windows_X86_64 LibreOffice_project/620$Build-2</Application>
  <AppVersion>15.0000</AppVersion>
  <Pages>2</Pages>
  <Words>1326</Words>
  <Characters>7824</Characters>
  <CharactersWithSpaces>9121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2026-06-15T18:57:58Z</dcterms:created>
  <dc:creator>Un-named</dc:creator>
  <dc:description/>
  <dc:language>nl-NL</dc:language>
  <cp:lastModifiedBy/>
  <dcterms:modified xsi:type="dcterms:W3CDTF">2026-06-22T21:08:10Z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